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5C" w:rsidRPr="002E3EB8" w:rsidRDefault="002E3EB8" w:rsidP="002E3EB8">
      <w:pPr>
        <w:jc w:val="center"/>
        <w:rPr>
          <w:b/>
          <w:sz w:val="24"/>
          <w:szCs w:val="24"/>
        </w:rPr>
      </w:pPr>
      <w:r w:rsidRPr="002E3EB8">
        <w:rPr>
          <w:b/>
          <w:sz w:val="24"/>
          <w:szCs w:val="24"/>
        </w:rPr>
        <w:t>KEY CHANGES IN THE UPDATED DECLARATIONS OF EXTERNAL INTEREST POLICY</w:t>
      </w:r>
      <w:r w:rsidR="00390380">
        <w:rPr>
          <w:b/>
          <w:sz w:val="24"/>
          <w:szCs w:val="24"/>
        </w:rPr>
        <w:t xml:space="preserve"> (scheduled to go live on 1</w:t>
      </w:r>
      <w:r w:rsidR="00390380" w:rsidRPr="00390380">
        <w:rPr>
          <w:b/>
          <w:sz w:val="24"/>
          <w:szCs w:val="24"/>
          <w:vertAlign w:val="superscript"/>
        </w:rPr>
        <w:t>st</w:t>
      </w:r>
      <w:r w:rsidR="00390380">
        <w:rPr>
          <w:b/>
          <w:sz w:val="24"/>
          <w:szCs w:val="24"/>
        </w:rPr>
        <w:t xml:space="preserve"> June 2019)</w:t>
      </w:r>
    </w:p>
    <w:p w:rsidR="002E3EB8" w:rsidRPr="002E3EB8" w:rsidRDefault="002E3EB8" w:rsidP="002E3EB8">
      <w:pPr>
        <w:jc w:val="center"/>
        <w:rPr>
          <w:b/>
        </w:rPr>
      </w:pPr>
    </w:p>
    <w:p w:rsidR="002E3EB8" w:rsidRPr="002E3EB8" w:rsidRDefault="002E3EB8" w:rsidP="002E3EB8">
      <w:pPr>
        <w:jc w:val="center"/>
        <w:rPr>
          <w:b/>
        </w:rPr>
      </w:pPr>
      <w:r w:rsidRPr="002E3EB8">
        <w:rPr>
          <w:b/>
        </w:rPr>
        <w:t>For information to the Policy Forum taking place Tuesday 16</w:t>
      </w:r>
      <w:r w:rsidRPr="002E3EB8">
        <w:rPr>
          <w:b/>
          <w:vertAlign w:val="superscript"/>
        </w:rPr>
        <w:t>th</w:t>
      </w:r>
      <w:r w:rsidRPr="002E3EB8">
        <w:rPr>
          <w:b/>
        </w:rPr>
        <w:t xml:space="preserve"> April 2019</w:t>
      </w:r>
      <w:r w:rsidR="00390380">
        <w:rPr>
          <w:b/>
        </w:rPr>
        <w:t xml:space="preserve"> </w:t>
      </w:r>
    </w:p>
    <w:p w:rsidR="002E3EB8" w:rsidRPr="002E3EB8" w:rsidRDefault="002E3EB8" w:rsidP="002E3EB8">
      <w:pPr>
        <w:jc w:val="center"/>
        <w:rPr>
          <w:b/>
        </w:rPr>
      </w:pPr>
    </w:p>
    <w:p w:rsidR="002E3EB8" w:rsidRPr="002E3EB8" w:rsidRDefault="002E3EB8" w:rsidP="002E3EB8">
      <w:pPr>
        <w:rPr>
          <w:b/>
        </w:rPr>
      </w:pPr>
      <w:r>
        <w:rPr>
          <w:b/>
        </w:rPr>
        <w:t>KEY CHANGES</w:t>
      </w:r>
      <w:r w:rsidRPr="002E3EB8">
        <w:rPr>
          <w:b/>
        </w:rPr>
        <w:t>:</w:t>
      </w:r>
    </w:p>
    <w:p w:rsidR="002E3EB8" w:rsidRDefault="002E3EB8" w:rsidP="002E3EB8">
      <w:pPr>
        <w:pStyle w:val="ListParagraph"/>
        <w:numPr>
          <w:ilvl w:val="0"/>
          <w:numId w:val="2"/>
        </w:numPr>
      </w:pPr>
      <w:r>
        <w:t>Removal of the requirement to make annual updates. Now updates are made when interests change or a person’s role changes.</w:t>
      </w:r>
    </w:p>
    <w:p w:rsidR="002E3EB8" w:rsidRDefault="002E3EB8" w:rsidP="002E3EB8">
      <w:pPr>
        <w:pStyle w:val="ListParagraph"/>
      </w:pPr>
    </w:p>
    <w:p w:rsidR="002E3EB8" w:rsidRDefault="002E3EB8" w:rsidP="002E3EB8">
      <w:pPr>
        <w:pStyle w:val="ListParagraph"/>
        <w:numPr>
          <w:ilvl w:val="0"/>
          <w:numId w:val="2"/>
        </w:numPr>
      </w:pPr>
      <w:r>
        <w:t>Line manager role has been introduced to facilitate management, recording and compliance of External Interests.</w:t>
      </w:r>
    </w:p>
    <w:p w:rsidR="002E3EB8" w:rsidRDefault="002E3EB8" w:rsidP="002E3EB8">
      <w:pPr>
        <w:pStyle w:val="ListParagraph"/>
      </w:pPr>
    </w:p>
    <w:p w:rsidR="002E3EB8" w:rsidRDefault="002E3EB8" w:rsidP="002E3EB8">
      <w:pPr>
        <w:pStyle w:val="ListParagraph"/>
        <w:numPr>
          <w:ilvl w:val="0"/>
          <w:numId w:val="2"/>
        </w:numPr>
      </w:pPr>
      <w:r>
        <w:t>All employees have the responsibility for recognising and declaring external interest but to aid Heads of Unit in selecting relevant staff to complete the register guidance is now provided as to the types of role/activity.</w:t>
      </w:r>
    </w:p>
    <w:p w:rsidR="002E3EB8" w:rsidRDefault="002E3EB8" w:rsidP="002E3EB8">
      <w:pPr>
        <w:pStyle w:val="ListParagraph"/>
      </w:pPr>
    </w:p>
    <w:p w:rsidR="002E3EB8" w:rsidRDefault="002E3EB8" w:rsidP="002E3EB8">
      <w:pPr>
        <w:pStyle w:val="ListParagraph"/>
        <w:numPr>
          <w:ilvl w:val="0"/>
          <w:numId w:val="2"/>
        </w:numPr>
      </w:pPr>
      <w:r>
        <w:t>Monitoring and compliance responsibility now sits with the Head of Unit.</w:t>
      </w:r>
    </w:p>
    <w:p w:rsidR="002E3EB8" w:rsidRDefault="002E3EB8" w:rsidP="002E3EB8">
      <w:pPr>
        <w:pStyle w:val="ListParagraph"/>
      </w:pPr>
    </w:p>
    <w:p w:rsidR="002E3EB8" w:rsidRDefault="002E3EB8" w:rsidP="002E3EB8">
      <w:pPr>
        <w:pStyle w:val="ListParagraph"/>
        <w:numPr>
          <w:ilvl w:val="0"/>
          <w:numId w:val="2"/>
        </w:numPr>
      </w:pPr>
      <w:r>
        <w:t xml:space="preserve">Discussions regarding conflicts or potential conflicts of interest must be recorded and retained. An ‘Agreed Actions’ section will be added to the Declarations of External Interest section in </w:t>
      </w:r>
      <w:proofErr w:type="spellStart"/>
      <w:r>
        <w:t>MyImpact</w:t>
      </w:r>
      <w:proofErr w:type="spellEnd"/>
      <w:r>
        <w:t>.</w:t>
      </w:r>
    </w:p>
    <w:p w:rsidR="002E3EB8" w:rsidRDefault="002E3EB8" w:rsidP="002E3EB8">
      <w:pPr>
        <w:pStyle w:val="ListParagraph"/>
      </w:pPr>
    </w:p>
    <w:p w:rsidR="002E3EB8" w:rsidRDefault="002E3EB8" w:rsidP="002E3EB8">
      <w:pPr>
        <w:pStyle w:val="ListParagraph"/>
        <w:numPr>
          <w:ilvl w:val="0"/>
          <w:numId w:val="2"/>
        </w:numPr>
      </w:pPr>
      <w:r>
        <w:t>Distinction made between policy and procedure with separate documents now detailing each.</w:t>
      </w:r>
    </w:p>
    <w:p w:rsidR="002E3EB8" w:rsidRDefault="002E3EB8" w:rsidP="002E3EB8">
      <w:pPr>
        <w:ind w:left="360"/>
      </w:pPr>
      <w:bookmarkStart w:id="0" w:name="_GoBack"/>
      <w:bookmarkEnd w:id="0"/>
    </w:p>
    <w:p w:rsidR="002E3EB8" w:rsidRDefault="002E3EB8" w:rsidP="002E3EB8">
      <w:pPr>
        <w:ind w:left="360"/>
      </w:pPr>
    </w:p>
    <w:sectPr w:rsidR="002E3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A4042"/>
    <w:multiLevelType w:val="hybridMultilevel"/>
    <w:tmpl w:val="E8C8CE04"/>
    <w:lvl w:ilvl="0" w:tplc="0646EC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800C3"/>
    <w:multiLevelType w:val="hybridMultilevel"/>
    <w:tmpl w:val="4CDE613E"/>
    <w:lvl w:ilvl="0" w:tplc="0646EC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B8"/>
    <w:rsid w:val="0012382A"/>
    <w:rsid w:val="002E3EB8"/>
    <w:rsid w:val="00390380"/>
    <w:rsid w:val="0069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4A785-CF27-4D2A-9DA1-E3815E35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Hunt</dc:creator>
  <cp:keywords/>
  <dc:description/>
  <cp:lastModifiedBy>Lizzie Hunt</cp:lastModifiedBy>
  <cp:revision>2</cp:revision>
  <dcterms:created xsi:type="dcterms:W3CDTF">2019-04-12T14:49:00Z</dcterms:created>
  <dcterms:modified xsi:type="dcterms:W3CDTF">2019-04-12T14:59:00Z</dcterms:modified>
</cp:coreProperties>
</file>